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16E9" w14:textId="77777777" w:rsidR="005348E3" w:rsidRPr="007C4AFD" w:rsidRDefault="005348E3">
      <w:pPr>
        <w:rPr>
          <w:rFonts w:ascii="Nirmala UI" w:hAnsi="Nirmala UI" w:cs="Nirmala UI"/>
          <w:sz w:val="20"/>
          <w:szCs w:val="20"/>
        </w:rPr>
      </w:pPr>
    </w:p>
    <w:p w14:paraId="37B347AF" w14:textId="77777777" w:rsidR="00867C67" w:rsidRPr="007C4AFD" w:rsidRDefault="00867C67">
      <w:pPr>
        <w:rPr>
          <w:rFonts w:ascii="Nirmala UI" w:hAnsi="Nirmala UI" w:cs="Nirmala UI"/>
          <w:sz w:val="20"/>
          <w:szCs w:val="20"/>
        </w:rPr>
      </w:pPr>
    </w:p>
    <w:p w14:paraId="7CF8454E" w14:textId="77777777" w:rsidR="005D0ABF" w:rsidRPr="007C4AFD" w:rsidRDefault="005D0ABF">
      <w:pPr>
        <w:rPr>
          <w:rFonts w:ascii="Nirmala UI" w:hAnsi="Nirmala UI" w:cs="Nirmala UI"/>
          <w:sz w:val="20"/>
          <w:szCs w:val="20"/>
        </w:rPr>
      </w:pPr>
    </w:p>
    <w:p w14:paraId="55EF52F0" w14:textId="016EF179" w:rsidR="00867C67" w:rsidRPr="002B6989" w:rsidRDefault="00776EB6" w:rsidP="00FB6930">
      <w:pPr>
        <w:pBdr>
          <w:top w:val="single" w:sz="18" w:space="1" w:color="FFC000"/>
        </w:pBdr>
        <w:jc w:val="center"/>
        <w:rPr>
          <w:rFonts w:ascii="Nirmala UI" w:hAnsi="Nirmala UI" w:cs="Nirmala UI"/>
          <w:smallCaps/>
          <w:sz w:val="32"/>
          <w:szCs w:val="32"/>
        </w:rPr>
      </w:pPr>
      <w:r w:rsidRPr="00FB6930">
        <w:rPr>
          <w:rFonts w:ascii="Nirmala UI" w:hAnsi="Nirmala UI" w:cs="Nirmala UI"/>
          <w:b/>
          <w:bCs/>
          <w:sz w:val="32"/>
          <w:szCs w:val="32"/>
        </w:rPr>
        <w:t>EthicsPoint Reporting Policy</w:t>
      </w:r>
    </w:p>
    <w:p w14:paraId="668FFED8" w14:textId="77777777" w:rsidR="00867C67" w:rsidRPr="002B6989" w:rsidRDefault="00867C67">
      <w:pPr>
        <w:rPr>
          <w:rFonts w:ascii="Nirmala UI" w:hAnsi="Nirmala UI" w:cs="Nirmala UI"/>
          <w:sz w:val="32"/>
          <w:szCs w:val="32"/>
        </w:rPr>
      </w:pPr>
    </w:p>
    <w:p w14:paraId="0BC027F7" w14:textId="6F24F4C1" w:rsidR="00867C67" w:rsidRPr="007C4AFD" w:rsidRDefault="00867C67">
      <w:pPr>
        <w:rPr>
          <w:rFonts w:ascii="Nirmala UI" w:hAnsi="Nirmala UI" w:cs="Nirmala UI"/>
          <w:b/>
          <w:bCs/>
          <w:sz w:val="20"/>
          <w:szCs w:val="20"/>
        </w:rPr>
      </w:pPr>
      <w:r w:rsidRPr="007C4AFD">
        <w:rPr>
          <w:rFonts w:ascii="Nirmala UI" w:hAnsi="Nirmala UI" w:cs="Nirmala UI"/>
          <w:b/>
          <w:bCs/>
          <w:sz w:val="20"/>
          <w:szCs w:val="20"/>
        </w:rPr>
        <w:t>Date of Initial Approval:</w:t>
      </w:r>
      <w:r w:rsidR="005D0ABF" w:rsidRPr="007C4AFD">
        <w:rPr>
          <w:rFonts w:ascii="Nirmala UI" w:hAnsi="Nirmala UI" w:cs="Nirmala UI"/>
          <w:b/>
          <w:bCs/>
          <w:sz w:val="20"/>
          <w:szCs w:val="20"/>
        </w:rPr>
        <w:t xml:space="preserve"> </w:t>
      </w:r>
      <w:sdt>
        <w:sdtPr>
          <w:rPr>
            <w:rFonts w:ascii="Nirmala UI" w:hAnsi="Nirmala UI" w:cs="Nirmala UI"/>
            <w:sz w:val="20"/>
            <w:szCs w:val="20"/>
          </w:rPr>
          <w:id w:val="597993555"/>
          <w:placeholder>
            <w:docPart w:val="DefaultPlaceholder_-1854013437"/>
          </w:placeholder>
          <w:date w:fullDate="2022-03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7494" w:rsidRPr="003C5161">
            <w:rPr>
              <w:rFonts w:ascii="Nirmala UI" w:hAnsi="Nirmala UI" w:cs="Nirmala UI"/>
              <w:sz w:val="20"/>
              <w:szCs w:val="20"/>
            </w:rPr>
            <w:t>3/23/2022</w:t>
          </w:r>
        </w:sdtContent>
      </w:sdt>
      <w:r w:rsidRPr="007C4AFD">
        <w:rPr>
          <w:rFonts w:ascii="Nirmala UI" w:hAnsi="Nirmala UI" w:cs="Nirmala UI"/>
          <w:b/>
          <w:bCs/>
          <w:sz w:val="20"/>
          <w:szCs w:val="20"/>
        </w:rPr>
        <w:tab/>
      </w:r>
      <w:r w:rsidRPr="007C4AFD">
        <w:rPr>
          <w:rFonts w:ascii="Nirmala UI" w:hAnsi="Nirmala UI" w:cs="Nirmala UI"/>
          <w:b/>
          <w:bCs/>
          <w:sz w:val="20"/>
          <w:szCs w:val="20"/>
        </w:rPr>
        <w:tab/>
      </w:r>
      <w:r w:rsidR="00607494">
        <w:rPr>
          <w:rFonts w:ascii="Nirmala UI" w:hAnsi="Nirmala UI" w:cs="Nirmala UI"/>
          <w:b/>
          <w:bCs/>
          <w:sz w:val="20"/>
          <w:szCs w:val="20"/>
        </w:rPr>
        <w:tab/>
      </w:r>
      <w:r w:rsidRPr="007C4AFD">
        <w:rPr>
          <w:rFonts w:ascii="Nirmala UI" w:hAnsi="Nirmala UI" w:cs="Nirmala UI"/>
          <w:b/>
          <w:bCs/>
          <w:sz w:val="20"/>
          <w:szCs w:val="20"/>
        </w:rPr>
        <w:t xml:space="preserve">Date Revised: </w:t>
      </w:r>
      <w:sdt>
        <w:sdtPr>
          <w:rPr>
            <w:rFonts w:ascii="Nirmala UI" w:hAnsi="Nirmala UI" w:cs="Nirmala UI"/>
            <w:sz w:val="20"/>
            <w:szCs w:val="20"/>
          </w:rPr>
          <w:id w:val="-1205558794"/>
          <w:placeholder>
            <w:docPart w:val="DefaultPlaceholder_-1854013437"/>
          </w:placeholder>
          <w:date w:fullDate="2025-01-3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5161">
            <w:rPr>
              <w:rFonts w:ascii="Nirmala UI" w:hAnsi="Nirmala UI" w:cs="Nirmala UI"/>
              <w:sz w:val="20"/>
              <w:szCs w:val="20"/>
            </w:rPr>
            <w:t>1/30/2025</w:t>
          </w:r>
        </w:sdtContent>
      </w:sdt>
    </w:p>
    <w:p w14:paraId="0114E6EC" w14:textId="32912885" w:rsidR="00867C67" w:rsidRDefault="00867C67" w:rsidP="00327ABC">
      <w:pPr>
        <w:pBdr>
          <w:bottom w:val="single" w:sz="18" w:space="1" w:color="FFC000"/>
        </w:pBdr>
        <w:rPr>
          <w:rFonts w:ascii="Nirmala UI" w:hAnsi="Nirmala UI" w:cs="Nirmala UI"/>
          <w:sz w:val="20"/>
          <w:szCs w:val="20"/>
        </w:rPr>
      </w:pPr>
      <w:r w:rsidRPr="007C4AFD">
        <w:rPr>
          <w:rFonts w:ascii="Nirmala UI" w:hAnsi="Nirmala UI" w:cs="Nirmala UI"/>
          <w:b/>
          <w:bCs/>
          <w:sz w:val="20"/>
          <w:szCs w:val="20"/>
        </w:rPr>
        <w:t xml:space="preserve">Category:  </w:t>
      </w:r>
      <w:r w:rsidR="00607494" w:rsidRPr="003C5161">
        <w:rPr>
          <w:rFonts w:ascii="Nirmala UI" w:hAnsi="Nirmala UI" w:cs="Nirmala UI"/>
          <w:sz w:val="20"/>
          <w:szCs w:val="20"/>
        </w:rPr>
        <w:t>University Policy</w:t>
      </w:r>
      <w:r w:rsidRPr="007C4AFD">
        <w:rPr>
          <w:rFonts w:ascii="Nirmala UI" w:hAnsi="Nirmala UI" w:cs="Nirmala UI"/>
          <w:b/>
          <w:bCs/>
          <w:sz w:val="20"/>
          <w:szCs w:val="20"/>
        </w:rPr>
        <w:tab/>
      </w:r>
      <w:r w:rsidRPr="007C4AFD">
        <w:rPr>
          <w:rFonts w:ascii="Nirmala UI" w:hAnsi="Nirmala UI" w:cs="Nirmala UI"/>
          <w:b/>
          <w:bCs/>
          <w:sz w:val="20"/>
          <w:szCs w:val="20"/>
        </w:rPr>
        <w:tab/>
      </w:r>
      <w:r w:rsidRPr="007C4AFD">
        <w:rPr>
          <w:rFonts w:ascii="Nirmala UI" w:hAnsi="Nirmala UI" w:cs="Nirmala UI"/>
          <w:b/>
          <w:bCs/>
          <w:sz w:val="20"/>
          <w:szCs w:val="20"/>
        </w:rPr>
        <w:tab/>
      </w:r>
      <w:r w:rsidRPr="007C4AFD">
        <w:rPr>
          <w:rFonts w:ascii="Nirmala UI" w:hAnsi="Nirmala UI" w:cs="Nirmala UI"/>
          <w:b/>
          <w:bCs/>
          <w:sz w:val="20"/>
          <w:szCs w:val="20"/>
        </w:rPr>
        <w:tab/>
        <w:t>Responsible Department:</w:t>
      </w:r>
      <w:r w:rsidR="00607494">
        <w:rPr>
          <w:rFonts w:ascii="Nirmala UI" w:hAnsi="Nirmala UI" w:cs="Nirmala UI"/>
          <w:sz w:val="20"/>
          <w:szCs w:val="20"/>
        </w:rPr>
        <w:t xml:space="preserve"> Administration and Governance</w:t>
      </w:r>
    </w:p>
    <w:p w14:paraId="6E1E5FD6" w14:textId="54BBA698" w:rsidR="00015375" w:rsidRPr="007C4AFD" w:rsidRDefault="00015375" w:rsidP="742A1FED">
      <w:pPr>
        <w:pBdr>
          <w:bottom w:val="single" w:sz="18" w:space="1" w:color="FFC000"/>
        </w:pBdr>
        <w:rPr>
          <w:rFonts w:ascii="Nirmala UI" w:hAnsi="Nirmala UI" w:cs="Nirmala UI"/>
          <w:sz w:val="20"/>
          <w:szCs w:val="20"/>
        </w:rPr>
      </w:pPr>
      <w:r w:rsidRPr="003C5161">
        <w:rPr>
          <w:rFonts w:ascii="Nirmala UI" w:hAnsi="Nirmala UI" w:cs="Nirmala UI"/>
          <w:b/>
          <w:bCs/>
          <w:sz w:val="20"/>
          <w:szCs w:val="20"/>
        </w:rPr>
        <w:t>Stakeholders Involved in Review:</w:t>
      </w:r>
      <w:r w:rsidRPr="742A1FED">
        <w:rPr>
          <w:rFonts w:ascii="Nirmala UI" w:hAnsi="Nirmala UI" w:cs="Nirmala UI"/>
          <w:sz w:val="20"/>
          <w:szCs w:val="20"/>
        </w:rPr>
        <w:t xml:space="preserve"> </w:t>
      </w:r>
      <w:r w:rsidR="00CD33A0">
        <w:rPr>
          <w:rFonts w:ascii="Nirmala UI" w:hAnsi="Nirmala UI" w:cs="Nirmala UI"/>
          <w:sz w:val="20"/>
          <w:szCs w:val="20"/>
        </w:rPr>
        <w:t>Leadership Council,</w:t>
      </w:r>
      <w:r w:rsidR="003C5161">
        <w:rPr>
          <w:rFonts w:ascii="Nirmala UI" w:hAnsi="Nirmala UI" w:cs="Nirmala UI"/>
          <w:sz w:val="20"/>
          <w:szCs w:val="20"/>
        </w:rPr>
        <w:t xml:space="preserve"> Legal Counsel, Compliance Office</w:t>
      </w:r>
    </w:p>
    <w:p w14:paraId="5D7E5B67" w14:textId="77777777" w:rsidR="005D0ABF" w:rsidRPr="007C4AFD" w:rsidRDefault="005D0ABF" w:rsidP="005D0ABF">
      <w:pPr>
        <w:rPr>
          <w:rFonts w:ascii="Nirmala UI" w:hAnsi="Nirmala UI" w:cs="Nirmala UI"/>
          <w:sz w:val="20"/>
          <w:szCs w:val="20"/>
        </w:rPr>
      </w:pPr>
    </w:p>
    <w:p w14:paraId="59C33120" w14:textId="77777777" w:rsidR="007C4AFD" w:rsidRPr="00327ABC" w:rsidRDefault="005D0ABF" w:rsidP="000713C9">
      <w:pPr>
        <w:rPr>
          <w:rFonts w:ascii="Nirmala UI" w:hAnsi="Nirmala UI" w:cs="Nirmala UI"/>
          <w:b/>
          <w:bCs/>
          <w:smallCaps/>
        </w:rPr>
      </w:pPr>
      <w:r w:rsidRPr="00327ABC">
        <w:rPr>
          <w:rFonts w:ascii="Nirmala UI" w:hAnsi="Nirmala UI" w:cs="Nirmala UI"/>
          <w:b/>
          <w:bCs/>
          <w:smallCaps/>
        </w:rPr>
        <w:t>Purpose &amp; Scope</w:t>
      </w:r>
    </w:p>
    <w:p w14:paraId="621C0610" w14:textId="47AB35C4" w:rsidR="00B331FA" w:rsidRPr="00CD33A0" w:rsidRDefault="00B331FA" w:rsidP="00B331FA">
      <w:pPr>
        <w:rPr>
          <w:rFonts w:ascii="Nirmala UI" w:hAnsi="Nirmala UI" w:cs="Nirmala UI"/>
        </w:rPr>
      </w:pPr>
      <w:r w:rsidRPr="54C9B9A2">
        <w:rPr>
          <w:rFonts w:ascii="Nirmala UI" w:hAnsi="Nirmala UI" w:cs="Nirmala UI"/>
        </w:rPr>
        <w:t>This policy supports Rocky Vista University’s</w:t>
      </w:r>
      <w:r w:rsidR="002A7342" w:rsidRPr="54C9B9A2">
        <w:rPr>
          <w:rFonts w:ascii="Nirmala UI" w:hAnsi="Nirmala UI" w:cs="Nirmala UI"/>
        </w:rPr>
        <w:t xml:space="preserve"> (RVU’s)</w:t>
      </w:r>
      <w:r w:rsidRPr="54C9B9A2">
        <w:rPr>
          <w:rFonts w:ascii="Nirmala UI" w:hAnsi="Nirmala UI" w:cs="Nirmala UI"/>
        </w:rPr>
        <w:t xml:space="preserve"> commitment to maintaining a culture of ethical conduct, transparency, and accountability. </w:t>
      </w:r>
      <w:r w:rsidR="002D692A" w:rsidRPr="54C9B9A2">
        <w:rPr>
          <w:rFonts w:ascii="Nirmala UI" w:hAnsi="Nirmala UI" w:cs="Nirmala UI"/>
        </w:rPr>
        <w:t>This policy</w:t>
      </w:r>
      <w:r w:rsidRPr="54C9B9A2">
        <w:rPr>
          <w:rFonts w:ascii="Nirmala UI" w:hAnsi="Nirmala UI" w:cs="Nirmala UI"/>
        </w:rPr>
        <w:t xml:space="preserve"> applies to all RVU employees</w:t>
      </w:r>
      <w:r w:rsidR="70CE9C2C" w:rsidRPr="54C9B9A2">
        <w:rPr>
          <w:rFonts w:ascii="Nirmala UI" w:hAnsi="Nirmala UI" w:cs="Nirmala UI"/>
        </w:rPr>
        <w:t xml:space="preserve"> and</w:t>
      </w:r>
      <w:r w:rsidRPr="54C9B9A2">
        <w:rPr>
          <w:rFonts w:ascii="Nirmala UI" w:hAnsi="Nirmala UI" w:cs="Nirmala UI"/>
        </w:rPr>
        <w:t xml:space="preserve"> students</w:t>
      </w:r>
      <w:r w:rsidR="00CD33A0" w:rsidRPr="54C9B9A2">
        <w:rPr>
          <w:rFonts w:ascii="Nirmala UI" w:hAnsi="Nirmala UI" w:cs="Nirmala UI"/>
        </w:rPr>
        <w:t xml:space="preserve"> </w:t>
      </w:r>
      <w:r w:rsidR="629E3B5A" w:rsidRPr="54C9B9A2">
        <w:rPr>
          <w:rFonts w:ascii="Nirmala UI" w:hAnsi="Nirmala UI" w:cs="Nirmala UI"/>
        </w:rPr>
        <w:t xml:space="preserve">to enable </w:t>
      </w:r>
      <w:r w:rsidRPr="54C9B9A2">
        <w:rPr>
          <w:rFonts w:ascii="Nirmala UI" w:hAnsi="Nirmala UI" w:cs="Nirmala UI"/>
        </w:rPr>
        <w:t xml:space="preserve">the reporting of unprofessional behavior, compliance violations, harassment, or ethical concerns </w:t>
      </w:r>
      <w:r w:rsidR="002D692A" w:rsidRPr="54C9B9A2">
        <w:rPr>
          <w:rFonts w:ascii="Nirmala UI" w:hAnsi="Nirmala UI" w:cs="Nirmala UI"/>
        </w:rPr>
        <w:t xml:space="preserve">through </w:t>
      </w:r>
      <w:r w:rsidRPr="54C9B9A2">
        <w:rPr>
          <w:rFonts w:ascii="Nirmala UI" w:hAnsi="Nirmala UI" w:cs="Nirmala UI"/>
        </w:rPr>
        <w:t>EthicsPoint</w:t>
      </w:r>
      <w:r w:rsidR="00A5740C" w:rsidRPr="54C9B9A2">
        <w:rPr>
          <w:rFonts w:ascii="Nirmala UI" w:hAnsi="Nirmala UI" w:cs="Nirmala UI"/>
        </w:rPr>
        <w:t>®</w:t>
      </w:r>
      <w:r w:rsidR="00160061">
        <w:rPr>
          <w:rFonts w:ascii="Nirmala UI" w:hAnsi="Nirmala UI" w:cs="Nirmala UI"/>
        </w:rPr>
        <w:t xml:space="preserve"> </w:t>
      </w:r>
      <w:r w:rsidR="002D692A" w:rsidRPr="54C9B9A2">
        <w:rPr>
          <w:rFonts w:ascii="Nirmala UI" w:hAnsi="Nirmala UI" w:cs="Nirmala UI"/>
        </w:rPr>
        <w:t xml:space="preserve">which </w:t>
      </w:r>
      <w:r w:rsidR="007963A5" w:rsidRPr="54C9B9A2">
        <w:rPr>
          <w:rFonts w:ascii="Nirmala UI" w:hAnsi="Nirmala UI" w:cs="Nirmala UI"/>
        </w:rPr>
        <w:t xml:space="preserve">will </w:t>
      </w:r>
      <w:r w:rsidRPr="54C9B9A2">
        <w:rPr>
          <w:rFonts w:ascii="Nirmala UI" w:hAnsi="Nirmala UI" w:cs="Nirmala UI"/>
        </w:rPr>
        <w:t>serve as</w:t>
      </w:r>
      <w:r w:rsidR="007963A5" w:rsidRPr="54C9B9A2">
        <w:rPr>
          <w:rFonts w:ascii="Nirmala UI" w:hAnsi="Nirmala UI" w:cs="Nirmala UI"/>
        </w:rPr>
        <w:t xml:space="preserve"> the</w:t>
      </w:r>
      <w:r w:rsidRPr="54C9B9A2">
        <w:rPr>
          <w:rFonts w:ascii="Nirmala UI" w:hAnsi="Nirmala UI" w:cs="Nirmala UI"/>
        </w:rPr>
        <w:t xml:space="preserve"> primary</w:t>
      </w:r>
      <w:r w:rsidR="007963A5" w:rsidRPr="54C9B9A2">
        <w:rPr>
          <w:rFonts w:ascii="Nirmala UI" w:hAnsi="Nirmala UI" w:cs="Nirmala UI"/>
        </w:rPr>
        <w:t xml:space="preserve"> </w:t>
      </w:r>
      <w:r w:rsidRPr="54C9B9A2">
        <w:rPr>
          <w:rFonts w:ascii="Nirmala UI" w:hAnsi="Nirmala UI" w:cs="Nirmala UI"/>
        </w:rPr>
        <w:t>confidential reporting system.</w:t>
      </w:r>
      <w:r w:rsidR="007963A5" w:rsidRPr="54C9B9A2">
        <w:rPr>
          <w:rFonts w:ascii="Nirmala UI" w:hAnsi="Nirmala UI" w:cs="Nirmala UI"/>
        </w:rPr>
        <w:t xml:space="preserve"> </w:t>
      </w:r>
    </w:p>
    <w:p w14:paraId="14A5154B" w14:textId="7A52C2AA" w:rsidR="007C4AFD" w:rsidRPr="00327ABC" w:rsidRDefault="005D0ABF" w:rsidP="000713C9">
      <w:pPr>
        <w:rPr>
          <w:rFonts w:ascii="Nirmala UI" w:hAnsi="Nirmala UI" w:cs="Nirmala UI"/>
          <w:b/>
          <w:bCs/>
          <w:smallCaps/>
        </w:rPr>
      </w:pPr>
      <w:r w:rsidRPr="007C4AFD">
        <w:rPr>
          <w:rFonts w:ascii="Nirmala UI" w:hAnsi="Nirmala UI" w:cs="Nirmala UI"/>
        </w:rPr>
        <w:br/>
      </w:r>
      <w:r w:rsidR="00AF3AAF">
        <w:rPr>
          <w:rFonts w:ascii="Nirmala UI" w:hAnsi="Nirmala UI" w:cs="Nirmala UI"/>
          <w:b/>
          <w:bCs/>
          <w:smallCaps/>
        </w:rPr>
        <w:t xml:space="preserve">Policy </w:t>
      </w:r>
    </w:p>
    <w:p w14:paraId="70FFE63E" w14:textId="0E3A813D" w:rsidR="007963A5" w:rsidRPr="00607494" w:rsidRDefault="007963A5" w:rsidP="007963A5">
      <w:pPr>
        <w:rPr>
          <w:rFonts w:ascii="Nirmala UI" w:hAnsi="Nirmala UI" w:cs="Nirmala UI"/>
          <w:sz w:val="20"/>
          <w:szCs w:val="20"/>
        </w:rPr>
      </w:pPr>
      <w:r w:rsidRPr="00CD33A0">
        <w:rPr>
          <w:rFonts w:ascii="Nirmala UI" w:hAnsi="Nirmala UI" w:cs="Nirmala UI"/>
        </w:rPr>
        <w:t xml:space="preserve">Rocky Vista University </w:t>
      </w:r>
      <w:r w:rsidR="0075213C">
        <w:rPr>
          <w:rFonts w:ascii="Nirmala UI" w:hAnsi="Nirmala UI" w:cs="Nirmala UI"/>
        </w:rPr>
        <w:t xml:space="preserve">(RVU) </w:t>
      </w:r>
      <w:r w:rsidRPr="00CD33A0">
        <w:rPr>
          <w:rFonts w:ascii="Nirmala UI" w:hAnsi="Nirmala UI" w:cs="Nirmala UI"/>
        </w:rPr>
        <w:t xml:space="preserve">emphasizes a </w:t>
      </w:r>
      <w:r w:rsidR="76964091" w:rsidRPr="34DB4736">
        <w:rPr>
          <w:rFonts w:ascii="Nirmala UI" w:hAnsi="Nirmala UI" w:cs="Nirmala UI"/>
        </w:rPr>
        <w:t xml:space="preserve">responsibility </w:t>
      </w:r>
      <w:r w:rsidRPr="00CD33A0">
        <w:rPr>
          <w:rFonts w:ascii="Nirmala UI" w:hAnsi="Nirmala UI" w:cs="Nirmala UI"/>
        </w:rPr>
        <w:t>to report ethical concerns, compliance violations, or unprofessional conduct of any student or employee. The official platform for secure and confidential reporting is the EthicsPoint</w:t>
      </w:r>
      <w:r w:rsidR="00A5740C">
        <w:rPr>
          <w:rFonts w:ascii="Nirmala UI" w:hAnsi="Nirmala UI" w:cs="Nirmala UI"/>
        </w:rPr>
        <w:t xml:space="preserve">® </w:t>
      </w:r>
      <w:r w:rsidRPr="00CD33A0">
        <w:rPr>
          <w:rFonts w:ascii="Nirmala UI" w:hAnsi="Nirmala UI" w:cs="Nirmala UI"/>
        </w:rPr>
        <w:t xml:space="preserve">system.  </w:t>
      </w:r>
      <w:r w:rsidR="002D692A" w:rsidRPr="00CD33A0">
        <w:rPr>
          <w:rFonts w:ascii="Nirmala UI" w:hAnsi="Nirmala UI" w:cs="Nirmala UI"/>
        </w:rPr>
        <w:t>RVU enforces a non-retaliation policy, fostering open communication and integrity across all aspects of the RVU community.</w:t>
      </w:r>
    </w:p>
    <w:p w14:paraId="58EE1460" w14:textId="0567454D" w:rsidR="005D0ABF" w:rsidRPr="00607494" w:rsidRDefault="009F6E29" w:rsidP="742A1FED">
      <w:pPr>
        <w:rPr>
          <w:rFonts w:ascii="Nirmala UI" w:hAnsi="Nirmala UI" w:cs="Nirmala UI"/>
          <w:color w:val="000000"/>
        </w:rPr>
      </w:pPr>
      <w:r>
        <w:br/>
      </w:r>
      <w:r w:rsidR="007963A5" w:rsidRPr="02110EDD">
        <w:rPr>
          <w:rFonts w:ascii="Nirmala UI" w:hAnsi="Nirmala UI" w:cs="Nirmala UI"/>
          <w:color w:val="000000" w:themeColor="text1"/>
        </w:rPr>
        <w:t>Title IX cases are to be brought to the immediate attention of the Title IX Coordinator. In the event a case is opened in EthicsPoint</w:t>
      </w:r>
      <w:r w:rsidR="00160061">
        <w:rPr>
          <w:rFonts w:ascii="Nirmala UI" w:hAnsi="Nirmala UI" w:cs="Nirmala UI"/>
        </w:rPr>
        <w:t>®</w:t>
      </w:r>
      <w:r w:rsidR="00160061">
        <w:rPr>
          <w:rFonts w:ascii="Nirmala UI" w:hAnsi="Nirmala UI" w:cs="Nirmala UI"/>
          <w:color w:val="000000" w:themeColor="text1"/>
        </w:rPr>
        <w:t xml:space="preserve"> </w:t>
      </w:r>
      <w:r w:rsidR="007963A5" w:rsidRPr="02110EDD">
        <w:rPr>
          <w:rFonts w:ascii="Nirmala UI" w:hAnsi="Nirmala UI" w:cs="Nirmala UI"/>
          <w:color w:val="000000" w:themeColor="text1"/>
        </w:rPr>
        <w:t xml:space="preserve">details of the case and findings will not be </w:t>
      </w:r>
      <w:r w:rsidR="4169C7C6" w:rsidRPr="02110EDD">
        <w:rPr>
          <w:rFonts w:ascii="Nirmala UI" w:hAnsi="Nirmala UI" w:cs="Nirmala UI"/>
          <w:color w:val="000000" w:themeColor="text1"/>
        </w:rPr>
        <w:t>updated or maintained</w:t>
      </w:r>
      <w:r w:rsidR="007963A5" w:rsidRPr="02110EDD">
        <w:rPr>
          <w:rFonts w:ascii="Nirmala UI" w:hAnsi="Nirmala UI" w:cs="Nirmala UI"/>
          <w:color w:val="000000" w:themeColor="text1"/>
        </w:rPr>
        <w:t xml:space="preserve"> in </w:t>
      </w:r>
      <w:r w:rsidR="63EE162A" w:rsidRPr="02110EDD">
        <w:rPr>
          <w:rFonts w:ascii="Nirmala UI" w:hAnsi="Nirmala UI" w:cs="Nirmala UI"/>
          <w:color w:val="000000" w:themeColor="text1"/>
        </w:rPr>
        <w:t>the system</w:t>
      </w:r>
      <w:r w:rsidR="007963A5" w:rsidRPr="02110EDD">
        <w:rPr>
          <w:rFonts w:ascii="Nirmala UI" w:hAnsi="Nirmala UI" w:cs="Nirmala UI"/>
          <w:color w:val="000000" w:themeColor="text1"/>
        </w:rPr>
        <w:t>.</w:t>
      </w:r>
    </w:p>
    <w:p w14:paraId="7ABB8CED" w14:textId="77777777" w:rsidR="007963A5" w:rsidRPr="00AF3AAF" w:rsidRDefault="007963A5" w:rsidP="007963A5">
      <w:pPr>
        <w:rPr>
          <w:rFonts w:ascii="Nirmala UI" w:hAnsi="Nirmala UI" w:cs="Nirmala UI"/>
          <w:sz w:val="20"/>
          <w:szCs w:val="20"/>
        </w:rPr>
      </w:pPr>
    </w:p>
    <w:p w14:paraId="6908A218" w14:textId="77777777" w:rsidR="007C4AFD" w:rsidRPr="00327ABC" w:rsidRDefault="009F6E29" w:rsidP="000713C9">
      <w:pPr>
        <w:rPr>
          <w:rFonts w:ascii="Nirmala UI" w:hAnsi="Nirmala UI" w:cs="Nirmala UI"/>
          <w:b/>
          <w:bCs/>
          <w:smallCaps/>
        </w:rPr>
      </w:pPr>
      <w:r w:rsidRPr="00327ABC">
        <w:rPr>
          <w:rFonts w:ascii="Nirmala UI" w:hAnsi="Nirmala UI" w:cs="Nirmala UI"/>
          <w:b/>
          <w:bCs/>
          <w:smallCaps/>
        </w:rPr>
        <w:t>Roles &amp; Responsibilities</w:t>
      </w:r>
    </w:p>
    <w:p w14:paraId="49FF73C7" w14:textId="56323861" w:rsidR="006D26A2" w:rsidRPr="007C4AFD" w:rsidRDefault="006D26A2" w:rsidP="009F6E29">
      <w:pPr>
        <w:rPr>
          <w:rFonts w:ascii="Nirmala UI" w:hAnsi="Nirmala UI" w:cs="Nirmala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6D26A2" w:rsidRPr="007C4AFD" w14:paraId="2DE8CEE9" w14:textId="77777777" w:rsidTr="34DB4736">
        <w:tc>
          <w:tcPr>
            <w:tcW w:w="3325" w:type="dxa"/>
          </w:tcPr>
          <w:p w14:paraId="730992B2" w14:textId="5ADFD0BD" w:rsidR="006D26A2" w:rsidRPr="007C4AFD" w:rsidRDefault="00B331FA" w:rsidP="006D26A2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t>Senior Compliance Manager</w:t>
            </w:r>
          </w:p>
        </w:tc>
        <w:tc>
          <w:tcPr>
            <w:tcW w:w="7465" w:type="dxa"/>
          </w:tcPr>
          <w:p w14:paraId="514DBA16" w14:textId="6675FC32" w:rsidR="006D26A2" w:rsidRPr="007C4AFD" w:rsidRDefault="00B331FA" w:rsidP="006D26A2">
            <w:pPr>
              <w:rPr>
                <w:rFonts w:ascii="Nirmala UI" w:hAnsi="Nirmala UI" w:cs="Nirmala UI"/>
                <w:sz w:val="20"/>
                <w:szCs w:val="20"/>
              </w:rPr>
            </w:pPr>
            <w:r>
              <w:t>Oversee EthicsPoint</w:t>
            </w:r>
            <w:r w:rsidR="00160061">
              <w:rPr>
                <w:rFonts w:ascii="Nirmala UI" w:hAnsi="Nirmala UI" w:cs="Nirmala UI"/>
              </w:rPr>
              <w:t xml:space="preserve">® </w:t>
            </w:r>
            <w:r>
              <w:t>review reports, and delegate cases to relevant personnel.</w:t>
            </w:r>
          </w:p>
        </w:tc>
      </w:tr>
      <w:tr w:rsidR="006D26A2" w:rsidRPr="007C4AFD" w14:paraId="03B6B937" w14:textId="77777777" w:rsidTr="34DB4736">
        <w:tc>
          <w:tcPr>
            <w:tcW w:w="3325" w:type="dxa"/>
          </w:tcPr>
          <w:p w14:paraId="57569038" w14:textId="36198954" w:rsidR="006D26A2" w:rsidRPr="007C4AFD" w:rsidRDefault="00A90EE4" w:rsidP="006D26A2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t>Case Assignee(s)</w:t>
            </w:r>
          </w:p>
        </w:tc>
        <w:tc>
          <w:tcPr>
            <w:tcW w:w="7465" w:type="dxa"/>
          </w:tcPr>
          <w:p w14:paraId="2EE78A70" w14:textId="4E1E168A" w:rsidR="006D26A2" w:rsidRPr="007C4AFD" w:rsidRDefault="03DAAC05" w:rsidP="006D26A2">
            <w:pPr>
              <w:rPr>
                <w:rFonts w:ascii="Nirmala UI" w:hAnsi="Nirmala UI" w:cs="Nirmala UI"/>
                <w:sz w:val="20"/>
                <w:szCs w:val="20"/>
              </w:rPr>
            </w:pPr>
            <w:r>
              <w:t xml:space="preserve">Investigate reports and maintain confidentiality while managing resolution efforts. </w:t>
            </w:r>
            <w:r w:rsidRPr="742A1FED">
              <w:rPr>
                <w:rFonts w:ascii="Nirmala UI" w:hAnsi="Nirmala UI" w:cs="Nirmala UI"/>
                <w:sz w:val="20"/>
                <w:szCs w:val="20"/>
              </w:rPr>
              <w:t>Communicate with complainant</w:t>
            </w:r>
            <w:r w:rsidR="3DCB9D5B" w:rsidRPr="742A1FED">
              <w:rPr>
                <w:rFonts w:ascii="Nirmala UI" w:hAnsi="Nirmala UI" w:cs="Nirmala UI"/>
                <w:sz w:val="20"/>
                <w:szCs w:val="20"/>
              </w:rPr>
              <w:t>s</w:t>
            </w:r>
            <w:r w:rsidRPr="742A1FED">
              <w:rPr>
                <w:rFonts w:ascii="Nirmala UI" w:hAnsi="Nirmala UI" w:cs="Nirmala UI"/>
                <w:sz w:val="20"/>
                <w:szCs w:val="20"/>
              </w:rPr>
              <w:t xml:space="preserve"> through follow-up. Add case notes about resolution.</w:t>
            </w:r>
            <w:r w:rsidR="38F7928C" w:rsidRPr="742A1FED">
              <w:rPr>
                <w:rFonts w:ascii="Nirmala UI" w:hAnsi="Nirmala UI" w:cs="Nirmala UI"/>
                <w:sz w:val="20"/>
                <w:szCs w:val="20"/>
              </w:rPr>
              <w:t xml:space="preserve"> Close case in the electronic complaints system once resolved.</w:t>
            </w:r>
          </w:p>
        </w:tc>
      </w:tr>
      <w:tr w:rsidR="34DB4736" w14:paraId="2CCA17B7" w14:textId="77777777" w:rsidTr="34DB4736">
        <w:trPr>
          <w:trHeight w:val="300"/>
        </w:trPr>
        <w:tc>
          <w:tcPr>
            <w:tcW w:w="3325" w:type="dxa"/>
          </w:tcPr>
          <w:p w14:paraId="5EFD29AB" w14:textId="5032C0AF" w:rsidR="72995EFB" w:rsidRDefault="72995EFB" w:rsidP="34DB4736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34DB4736">
              <w:rPr>
                <w:rFonts w:ascii="Nirmala UI" w:hAnsi="Nirmala UI" w:cs="Nirmala UI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7465" w:type="dxa"/>
          </w:tcPr>
          <w:p w14:paraId="0D3BEFCF" w14:textId="31739270" w:rsidR="72995EFB" w:rsidRDefault="00CD33A0" w:rsidP="34DB4736">
            <w:r>
              <w:t>Work with case assignee when it involves an employee.</w:t>
            </w:r>
          </w:p>
        </w:tc>
      </w:tr>
      <w:tr w:rsidR="006D26A2" w:rsidRPr="007C4AFD" w14:paraId="542AF8CC" w14:textId="77777777" w:rsidTr="34DB4736">
        <w:tc>
          <w:tcPr>
            <w:tcW w:w="3325" w:type="dxa"/>
          </w:tcPr>
          <w:p w14:paraId="6606F599" w14:textId="5DF74C02" w:rsidR="006D26A2" w:rsidRPr="007C4AFD" w:rsidRDefault="00A90EE4" w:rsidP="006D26A2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t>Provost</w:t>
            </w:r>
          </w:p>
        </w:tc>
        <w:tc>
          <w:tcPr>
            <w:tcW w:w="7465" w:type="dxa"/>
          </w:tcPr>
          <w:p w14:paraId="3408E44C" w14:textId="73538C43" w:rsidR="006D26A2" w:rsidRPr="007C4AFD" w:rsidRDefault="03DAAC05" w:rsidP="006D26A2">
            <w:pPr>
              <w:rPr>
                <w:rFonts w:ascii="Nirmala UI" w:hAnsi="Nirmala UI" w:cs="Nirmala UI"/>
                <w:sz w:val="20"/>
                <w:szCs w:val="20"/>
              </w:rPr>
            </w:pPr>
            <w:r>
              <w:t>Handle student appeals and escalations.</w:t>
            </w:r>
          </w:p>
        </w:tc>
      </w:tr>
      <w:tr w:rsidR="006D26A2" w:rsidRPr="007C4AFD" w14:paraId="6DC9943F" w14:textId="77777777" w:rsidTr="34DB4736">
        <w:tc>
          <w:tcPr>
            <w:tcW w:w="3325" w:type="dxa"/>
          </w:tcPr>
          <w:p w14:paraId="295C5823" w14:textId="52D55779" w:rsidR="006D26A2" w:rsidRPr="007C4AFD" w:rsidRDefault="00A90EE4" w:rsidP="006D26A2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t>President/CEO</w:t>
            </w:r>
          </w:p>
        </w:tc>
        <w:tc>
          <w:tcPr>
            <w:tcW w:w="7465" w:type="dxa"/>
          </w:tcPr>
          <w:p w14:paraId="56AE0A2F" w14:textId="0D335159" w:rsidR="006D26A2" w:rsidRPr="007C4AFD" w:rsidRDefault="03DAAC05" w:rsidP="006D26A2">
            <w:pPr>
              <w:rPr>
                <w:rFonts w:ascii="Nirmala UI" w:hAnsi="Nirmala UI" w:cs="Nirmala UI"/>
                <w:sz w:val="20"/>
                <w:szCs w:val="20"/>
              </w:rPr>
            </w:pPr>
            <w:r>
              <w:t xml:space="preserve">Handle employee appeals and escalations, including cases that may involve the RVU Board of Trustees. </w:t>
            </w:r>
          </w:p>
        </w:tc>
      </w:tr>
    </w:tbl>
    <w:p w14:paraId="77893982" w14:textId="5EC0AF00" w:rsidR="007C4AFD" w:rsidRDefault="009F6E29" w:rsidP="000713C9">
      <w:pPr>
        <w:jc w:val="center"/>
        <w:rPr>
          <w:rFonts w:ascii="Nirmala UI" w:hAnsi="Nirmala UI" w:cs="Nirmala UI"/>
          <w:b/>
          <w:bCs/>
          <w:smallCaps/>
        </w:rPr>
      </w:pPr>
      <w:r w:rsidRPr="007C4AFD">
        <w:rPr>
          <w:rFonts w:ascii="Nirmala UI" w:hAnsi="Nirmala UI" w:cs="Nirmala UI"/>
          <w:b/>
          <w:bCs/>
          <w:smallCaps/>
          <w:sz w:val="20"/>
          <w:szCs w:val="20"/>
        </w:rPr>
        <w:br/>
      </w:r>
    </w:p>
    <w:p w14:paraId="42FEA398" w14:textId="31777268" w:rsidR="007C4AFD" w:rsidRPr="00327ABC" w:rsidRDefault="009F6E29" w:rsidP="000713C9">
      <w:pPr>
        <w:rPr>
          <w:rFonts w:ascii="Nirmala UI" w:hAnsi="Nirmala UI" w:cs="Nirmala UI"/>
          <w:b/>
          <w:bCs/>
          <w:smallCaps/>
        </w:rPr>
      </w:pPr>
      <w:r w:rsidRPr="00327ABC">
        <w:rPr>
          <w:rFonts w:ascii="Nirmala UI" w:hAnsi="Nirmala UI" w:cs="Nirmala UI"/>
          <w:b/>
          <w:bCs/>
          <w:smallCaps/>
        </w:rPr>
        <w:t xml:space="preserve">Related </w:t>
      </w:r>
      <w:r w:rsidR="00084733">
        <w:rPr>
          <w:rFonts w:ascii="Nirmala UI" w:hAnsi="Nirmala UI" w:cs="Nirmala UI"/>
          <w:b/>
          <w:bCs/>
          <w:smallCaps/>
        </w:rPr>
        <w:t>Processes, Procedures, and/or Definitions</w:t>
      </w:r>
    </w:p>
    <w:p w14:paraId="538EAEA7" w14:textId="450FF1D0" w:rsidR="009F6E29" w:rsidRPr="007C4AFD" w:rsidRDefault="009F6E29" w:rsidP="009F6E29">
      <w:pPr>
        <w:pStyle w:val="ListParagraph"/>
        <w:numPr>
          <w:ilvl w:val="0"/>
          <w:numId w:val="2"/>
        </w:numPr>
        <w:rPr>
          <w:rFonts w:ascii="Nirmala UI" w:hAnsi="Nirmala UI" w:cs="Nirmala UI"/>
          <w:sz w:val="20"/>
          <w:szCs w:val="20"/>
        </w:rPr>
      </w:pPr>
      <w:r w:rsidRPr="742A1FED">
        <w:rPr>
          <w:rFonts w:ascii="Nirmala UI" w:hAnsi="Nirmala UI" w:cs="Nirmala UI"/>
          <w:sz w:val="20"/>
          <w:szCs w:val="20"/>
        </w:rPr>
        <w:t xml:space="preserve">Appendix 1: </w:t>
      </w:r>
      <w:r w:rsidR="00B331FA">
        <w:t>EthicsPoint</w:t>
      </w:r>
      <w:r w:rsidR="00160061">
        <w:rPr>
          <w:rFonts w:ascii="Nirmala UI" w:hAnsi="Nirmala UI" w:cs="Nirmala UI"/>
        </w:rPr>
        <w:t>®</w:t>
      </w:r>
      <w:r w:rsidR="7B8E5622">
        <w:t xml:space="preserve"> </w:t>
      </w:r>
      <w:r w:rsidR="00B331FA">
        <w:t xml:space="preserve">Reporting Procedures  </w:t>
      </w:r>
    </w:p>
    <w:p w14:paraId="04921905" w14:textId="4D155D1D" w:rsidR="009F6E29" w:rsidRPr="007C4AFD" w:rsidRDefault="009F6E29" w:rsidP="009F6E29">
      <w:pPr>
        <w:pStyle w:val="ListParagraph"/>
        <w:numPr>
          <w:ilvl w:val="0"/>
          <w:numId w:val="2"/>
        </w:numPr>
        <w:rPr>
          <w:rFonts w:ascii="Nirmala UI" w:hAnsi="Nirmala UI" w:cs="Nirmala UI"/>
          <w:sz w:val="20"/>
          <w:szCs w:val="20"/>
        </w:rPr>
      </w:pPr>
      <w:r w:rsidRPr="007C4AFD">
        <w:rPr>
          <w:rFonts w:ascii="Nirmala UI" w:hAnsi="Nirmala UI" w:cs="Nirmala UI"/>
          <w:sz w:val="20"/>
          <w:szCs w:val="20"/>
        </w:rPr>
        <w:t xml:space="preserve">Appendix 2: </w:t>
      </w:r>
      <w:r w:rsidR="00B331FA">
        <w:t xml:space="preserve">Whistleblower and Retaliation Protection Policy  </w:t>
      </w:r>
    </w:p>
    <w:p w14:paraId="5EACA692" w14:textId="77777777" w:rsidR="006D26A2" w:rsidRPr="007C4AFD" w:rsidRDefault="006D26A2" w:rsidP="006D26A2">
      <w:pPr>
        <w:rPr>
          <w:rFonts w:ascii="Nirmala UI" w:hAnsi="Nirmala UI" w:cs="Nirmala UI"/>
        </w:rPr>
      </w:pPr>
    </w:p>
    <w:p w14:paraId="3AB543B5" w14:textId="77777777" w:rsidR="007C4AFD" w:rsidRPr="00327ABC" w:rsidRDefault="006D26A2" w:rsidP="000713C9">
      <w:pPr>
        <w:rPr>
          <w:rFonts w:ascii="Nirmala UI" w:hAnsi="Nirmala UI" w:cs="Nirmala UI"/>
          <w:b/>
          <w:smallCaps/>
        </w:rPr>
      </w:pPr>
      <w:r w:rsidRPr="00327ABC">
        <w:rPr>
          <w:rFonts w:ascii="Nirmala UI" w:hAnsi="Nirmala UI" w:cs="Nirmala UI"/>
          <w:b/>
          <w:smallCaps/>
        </w:rPr>
        <w:t>Policy Revision History</w:t>
      </w:r>
    </w:p>
    <w:p w14:paraId="6C03308B" w14:textId="77777777" w:rsidR="00CD33A0" w:rsidRDefault="007963A5" w:rsidP="007963A5">
      <w:pPr>
        <w:rPr>
          <w:rFonts w:ascii="Nirmala UI" w:hAnsi="Nirmala UI" w:cs="Nirmala UI"/>
          <w:sz w:val="20"/>
          <w:szCs w:val="20"/>
        </w:rPr>
      </w:pPr>
      <w:r w:rsidRPr="742A1FED">
        <w:rPr>
          <w:rFonts w:ascii="Nirmala UI" w:hAnsi="Nirmala UI" w:cs="Nirmala UI"/>
          <w:sz w:val="20"/>
          <w:szCs w:val="20"/>
        </w:rPr>
        <w:t>11/0</w:t>
      </w:r>
      <w:r w:rsidR="00607494" w:rsidRPr="742A1FED">
        <w:rPr>
          <w:rFonts w:ascii="Nirmala UI" w:hAnsi="Nirmala UI" w:cs="Nirmala UI"/>
          <w:sz w:val="20"/>
          <w:szCs w:val="20"/>
        </w:rPr>
        <w:t>4</w:t>
      </w:r>
      <w:r w:rsidRPr="742A1FED">
        <w:rPr>
          <w:rFonts w:ascii="Nirmala UI" w:hAnsi="Nirmala UI" w:cs="Nirmala UI"/>
          <w:sz w:val="20"/>
          <w:szCs w:val="20"/>
        </w:rPr>
        <w:t>/24</w:t>
      </w:r>
      <w:r>
        <w:tab/>
      </w:r>
      <w:r w:rsidRPr="742A1FED">
        <w:rPr>
          <w:rFonts w:ascii="Nirmala UI" w:hAnsi="Nirmala UI" w:cs="Nirmala UI"/>
          <w:sz w:val="20"/>
          <w:szCs w:val="20"/>
        </w:rPr>
        <w:t>Transferred to new policy template. Policy content condensed and two appendices added.</w:t>
      </w:r>
    </w:p>
    <w:p w14:paraId="0BC6249E" w14:textId="6D13D01E" w:rsidR="007963A5" w:rsidRDefault="00160061" w:rsidP="007963A5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01/30/25</w:t>
      </w:r>
      <w:r>
        <w:rPr>
          <w:rFonts w:ascii="Nirmala UI" w:hAnsi="Nirmala UI" w:cs="Nirmala UI"/>
          <w:sz w:val="20"/>
          <w:szCs w:val="20"/>
        </w:rPr>
        <w:tab/>
        <w:t>Reviewed by legal counsel and edits corrected.</w:t>
      </w:r>
      <w:r w:rsidR="00CD33A0">
        <w:rPr>
          <w:rFonts w:ascii="Nirmala UI" w:hAnsi="Nirmala UI" w:cs="Nirmala UI"/>
          <w:sz w:val="20"/>
          <w:szCs w:val="20"/>
        </w:rPr>
        <w:tab/>
      </w:r>
      <w:r w:rsidR="007963A5" w:rsidRPr="742A1FED">
        <w:rPr>
          <w:rFonts w:ascii="Nirmala UI" w:hAnsi="Nirmala UI" w:cs="Nirmala UI"/>
          <w:sz w:val="20"/>
          <w:szCs w:val="20"/>
        </w:rPr>
        <w:t xml:space="preserve"> </w:t>
      </w:r>
    </w:p>
    <w:p w14:paraId="4C2FB19D" w14:textId="2D4A059D" w:rsidR="007C4AFD" w:rsidRDefault="007C4AFD" w:rsidP="006D26A2">
      <w:pPr>
        <w:rPr>
          <w:rFonts w:ascii="Nirmala UI" w:hAnsi="Nirmala UI" w:cs="Nirmala UI"/>
          <w:sz w:val="20"/>
          <w:szCs w:val="20"/>
        </w:rPr>
      </w:pPr>
    </w:p>
    <w:p w14:paraId="7EF88064" w14:textId="1E628BAB" w:rsidR="00DA25EF" w:rsidRDefault="00DA25EF" w:rsidP="006D26A2">
      <w:pPr>
        <w:rPr>
          <w:rFonts w:ascii="Nirmala UI" w:hAnsi="Nirmala UI" w:cs="Nirmala UI"/>
          <w:sz w:val="20"/>
          <w:szCs w:val="20"/>
        </w:rPr>
      </w:pPr>
    </w:p>
    <w:p w14:paraId="4594E507" w14:textId="7C232970" w:rsidR="00DA25EF" w:rsidRDefault="00DA25EF" w:rsidP="006D26A2">
      <w:pPr>
        <w:rPr>
          <w:rFonts w:ascii="Nirmala UI" w:hAnsi="Nirmala UI" w:cs="Nirmala UI"/>
          <w:sz w:val="20"/>
          <w:szCs w:val="20"/>
        </w:rPr>
      </w:pPr>
    </w:p>
    <w:p w14:paraId="4D3B049B" w14:textId="77777777" w:rsidR="00DF09F6" w:rsidRDefault="00DF09F6" w:rsidP="006D26A2">
      <w:pPr>
        <w:rPr>
          <w:rFonts w:ascii="Nirmala UI" w:hAnsi="Nirmala UI" w:cs="Nirmala UI"/>
          <w:sz w:val="20"/>
          <w:szCs w:val="20"/>
        </w:rPr>
      </w:pPr>
    </w:p>
    <w:p w14:paraId="0202DBE8" w14:textId="77777777" w:rsidR="00DF09F6" w:rsidRDefault="00DF09F6" w:rsidP="006D26A2">
      <w:pPr>
        <w:rPr>
          <w:rFonts w:ascii="Nirmala UI" w:hAnsi="Nirmala UI" w:cs="Nirmala UI"/>
          <w:sz w:val="20"/>
          <w:szCs w:val="20"/>
        </w:rPr>
      </w:pPr>
    </w:p>
    <w:p w14:paraId="781A1547" w14:textId="2C23F4F4" w:rsidR="00DF09F6" w:rsidRPr="003F78B3" w:rsidRDefault="00DF09F6" w:rsidP="002B6989">
      <w:pPr>
        <w:jc w:val="center"/>
        <w:rPr>
          <w:b/>
          <w:bCs/>
          <w:sz w:val="24"/>
          <w:szCs w:val="24"/>
        </w:rPr>
      </w:pPr>
      <w:r w:rsidRPr="003F78B3">
        <w:rPr>
          <w:b/>
          <w:bCs/>
          <w:sz w:val="24"/>
          <w:szCs w:val="24"/>
        </w:rPr>
        <w:t>Appendix 1: EthicsPoint</w:t>
      </w:r>
      <w:r w:rsidR="00160061">
        <w:rPr>
          <w:rFonts w:ascii="Nirmala UI" w:hAnsi="Nirmala UI" w:cs="Nirmala UI"/>
        </w:rPr>
        <w:t>®</w:t>
      </w:r>
      <w:r w:rsidRPr="003F78B3">
        <w:rPr>
          <w:b/>
          <w:bCs/>
          <w:sz w:val="24"/>
          <w:szCs w:val="24"/>
        </w:rPr>
        <w:t xml:space="preserve"> Reporting Procedures</w:t>
      </w:r>
    </w:p>
    <w:p w14:paraId="1BAF44FF" w14:textId="77777777" w:rsidR="00DF09F6" w:rsidRDefault="00DF09F6" w:rsidP="00DF09F6"/>
    <w:p w14:paraId="2DF6BC63" w14:textId="5161531E" w:rsidR="00DF09F6" w:rsidRPr="003F78B3" w:rsidRDefault="634292AE" w:rsidP="00DF09F6">
      <w:pPr>
        <w:rPr>
          <w:b/>
          <w:bCs/>
        </w:rPr>
      </w:pPr>
      <w:r w:rsidRPr="34DB4736">
        <w:rPr>
          <w:b/>
          <w:bCs/>
        </w:rPr>
        <w:t>Responsibility</w:t>
      </w:r>
      <w:r w:rsidR="00CD33A0">
        <w:rPr>
          <w:b/>
          <w:bCs/>
        </w:rPr>
        <w:t xml:space="preserve"> </w:t>
      </w:r>
      <w:r w:rsidR="00DF09F6" w:rsidRPr="34DB4736">
        <w:rPr>
          <w:b/>
          <w:bCs/>
        </w:rPr>
        <w:t xml:space="preserve">to Report Concerns  </w:t>
      </w:r>
    </w:p>
    <w:p w14:paraId="6DA5DBF5" w14:textId="77777777" w:rsidR="00DF09F6" w:rsidRDefault="00DF09F6" w:rsidP="00DF09F6">
      <w:pPr>
        <w:pStyle w:val="ListParagraph"/>
        <w:numPr>
          <w:ilvl w:val="0"/>
          <w:numId w:val="4"/>
        </w:numPr>
        <w:spacing w:after="160" w:line="259" w:lineRule="auto"/>
      </w:pPr>
      <w:r>
        <w:t>RVU community members are encouraged to report legal, compliance, and ethics questions or concerns, especially if there is uncertainty regarding a course of action or suspected misconduct.</w:t>
      </w:r>
    </w:p>
    <w:p w14:paraId="0EF43679" w14:textId="1DBE9924" w:rsidR="00DF09F6" w:rsidRDefault="00DF09F6" w:rsidP="00DF09F6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Title IX cases should be reported directly to the Title IX Coordinator and </w:t>
      </w:r>
      <w:r w:rsidR="40B2F61F">
        <w:t>should</w:t>
      </w:r>
      <w:r>
        <w:t xml:space="preserve"> not </w:t>
      </w:r>
      <w:r w:rsidR="52B3690B">
        <w:t xml:space="preserve">be </w:t>
      </w:r>
      <w:r w:rsidR="702A3475">
        <w:t xml:space="preserve">reported via </w:t>
      </w:r>
      <w:r>
        <w:t>EthicsPoint.</w:t>
      </w:r>
    </w:p>
    <w:p w14:paraId="49DA8C29" w14:textId="77777777" w:rsidR="00DF09F6" w:rsidRDefault="00DF09F6" w:rsidP="00DF09F6"/>
    <w:p w14:paraId="603FD051" w14:textId="77777777" w:rsidR="00DF09F6" w:rsidRPr="003F78B3" w:rsidRDefault="00DF09F6" w:rsidP="00DF09F6">
      <w:pPr>
        <w:rPr>
          <w:b/>
          <w:bCs/>
        </w:rPr>
      </w:pPr>
      <w:r w:rsidRPr="003F78B3">
        <w:rPr>
          <w:b/>
          <w:bCs/>
        </w:rPr>
        <w:t xml:space="preserve">Reporting Channels  </w:t>
      </w:r>
    </w:p>
    <w:p w14:paraId="0B27A1F3" w14:textId="77777777" w:rsidR="00DF09F6" w:rsidRDefault="00DF09F6" w:rsidP="00DF09F6">
      <w:pPr>
        <w:pStyle w:val="ListParagraph"/>
        <w:numPr>
          <w:ilvl w:val="0"/>
          <w:numId w:val="5"/>
        </w:numPr>
        <w:spacing w:after="160" w:line="259" w:lineRule="auto"/>
      </w:pPr>
      <w:r>
        <w:t>Phone Reporting: Available 24/7 at 844-936-2729, managed by an independent third-party service, ensuring anonymity.</w:t>
      </w:r>
    </w:p>
    <w:p w14:paraId="0A7C97AF" w14:textId="1DD2055A" w:rsidR="00DF09F6" w:rsidRDefault="00DF09F6" w:rsidP="00DF09F6">
      <w:pPr>
        <w:pStyle w:val="ListParagraph"/>
        <w:numPr>
          <w:ilvl w:val="0"/>
          <w:numId w:val="5"/>
        </w:numPr>
        <w:spacing w:after="160" w:line="259" w:lineRule="auto"/>
      </w:pPr>
      <w:r>
        <w:t>Web Reporting: Accessible at rvu.ethicspoint.com</w:t>
      </w:r>
      <w:r w:rsidR="00607494">
        <w:t xml:space="preserve"> </w:t>
      </w:r>
      <w:r>
        <w:t>(</w:t>
      </w:r>
      <w:hyperlink r:id="rId10" w:history="1">
        <w:r w:rsidRPr="00607494">
          <w:rPr>
            <w:rStyle w:val="Hyperlink"/>
          </w:rPr>
          <w:t>http://rvu.ethicspoint.com</w:t>
        </w:r>
      </w:hyperlink>
      <w:r>
        <w:t>) for confidential, anonymous submissions.</w:t>
      </w:r>
    </w:p>
    <w:p w14:paraId="68D3D516" w14:textId="0A7B9915" w:rsidR="00DF09F6" w:rsidRDefault="00DF09F6" w:rsidP="00DF09F6">
      <w:pPr>
        <w:pStyle w:val="ListParagraph"/>
        <w:numPr>
          <w:ilvl w:val="0"/>
          <w:numId w:val="5"/>
        </w:numPr>
        <w:spacing w:after="160" w:line="259" w:lineRule="auto"/>
      </w:pPr>
      <w:r>
        <w:t>All report</w:t>
      </w:r>
      <w:r w:rsidR="1332E925">
        <w:t>ing parties</w:t>
      </w:r>
      <w:r>
        <w:t xml:space="preserve"> are provided with a reference number for follow-up.</w:t>
      </w:r>
    </w:p>
    <w:p w14:paraId="21A295E5" w14:textId="77777777" w:rsidR="00DF09F6" w:rsidRDefault="00DF09F6" w:rsidP="00DF09F6"/>
    <w:p w14:paraId="755D310E" w14:textId="77777777" w:rsidR="00DF09F6" w:rsidRPr="003F78B3" w:rsidRDefault="00DF09F6" w:rsidP="00DF09F6">
      <w:pPr>
        <w:rPr>
          <w:b/>
          <w:bCs/>
        </w:rPr>
      </w:pPr>
      <w:r w:rsidRPr="003F78B3">
        <w:rPr>
          <w:b/>
          <w:bCs/>
        </w:rPr>
        <w:t xml:space="preserve">Anonymity and Confidentiality  </w:t>
      </w:r>
    </w:p>
    <w:p w14:paraId="132FCF23" w14:textId="50E28610" w:rsidR="00DF09F6" w:rsidRDefault="00DF09F6" w:rsidP="00DF09F6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Anonymity: Individuals may </w:t>
      </w:r>
      <w:r w:rsidR="7787D9F1">
        <w:t>submit reports</w:t>
      </w:r>
      <w:r>
        <w:t xml:space="preserve"> anonymous</w:t>
      </w:r>
      <w:r w:rsidR="6036FEC6">
        <w:t>ly</w:t>
      </w:r>
      <w:r>
        <w:t>.</w:t>
      </w:r>
    </w:p>
    <w:p w14:paraId="2C2A3EAB" w14:textId="77777777" w:rsidR="00DF09F6" w:rsidRDefault="00DF09F6" w:rsidP="00DF09F6">
      <w:pPr>
        <w:pStyle w:val="ListParagraph"/>
        <w:numPr>
          <w:ilvl w:val="0"/>
          <w:numId w:val="6"/>
        </w:numPr>
        <w:spacing w:after="160" w:line="259" w:lineRule="auto"/>
      </w:pPr>
      <w:r>
        <w:t>Confidentiality: If a report includes identifying details, RVU will prioritize confidentiality, sharing information only on a need-to-know basis.</w:t>
      </w:r>
    </w:p>
    <w:p w14:paraId="5AF69A34" w14:textId="60F5ED78" w:rsidR="00CD33A0" w:rsidRDefault="00CD33A0" w:rsidP="00DF09F6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Employees named in a report are not able to view the </w:t>
      </w:r>
      <w:r w:rsidR="00DB31AF">
        <w:t>report</w:t>
      </w:r>
      <w:r>
        <w:t>.</w:t>
      </w:r>
    </w:p>
    <w:p w14:paraId="6BB2EE80" w14:textId="77777777" w:rsidR="00DF09F6" w:rsidRDefault="00DF09F6" w:rsidP="00DF09F6"/>
    <w:p w14:paraId="4A74902C" w14:textId="77777777" w:rsidR="00DF09F6" w:rsidRPr="003F78B3" w:rsidRDefault="00DF09F6" w:rsidP="00DF09F6">
      <w:pPr>
        <w:rPr>
          <w:b/>
          <w:bCs/>
        </w:rPr>
      </w:pPr>
      <w:r w:rsidRPr="003F78B3">
        <w:rPr>
          <w:b/>
          <w:bCs/>
        </w:rPr>
        <w:t xml:space="preserve">After Submission  </w:t>
      </w:r>
    </w:p>
    <w:p w14:paraId="74CBC292" w14:textId="0DB7FE31" w:rsidR="00DF09F6" w:rsidRDefault="3722769B" w:rsidP="00DF09F6">
      <w:pPr>
        <w:pStyle w:val="ListParagraph"/>
        <w:numPr>
          <w:ilvl w:val="0"/>
          <w:numId w:val="7"/>
        </w:numPr>
        <w:spacing w:after="160" w:line="259" w:lineRule="auto"/>
      </w:pPr>
      <w:r>
        <w:t>A r</w:t>
      </w:r>
      <w:r w:rsidR="00DF09F6">
        <w:t>eport</w:t>
      </w:r>
      <w:r w:rsidR="00980197">
        <w:t xml:space="preserve"> </w:t>
      </w:r>
      <w:r w:rsidR="1139C6F6">
        <w:t>is</w:t>
      </w:r>
      <w:r w:rsidR="00DF09F6">
        <w:t xml:space="preserve"> securely entered into the EthicsPoint</w:t>
      </w:r>
      <w:r w:rsidR="00A5740C">
        <w:rPr>
          <w:rFonts w:cstheme="minorHAnsi"/>
        </w:rPr>
        <w:t xml:space="preserve">® </w:t>
      </w:r>
      <w:r w:rsidR="00DF09F6">
        <w:t xml:space="preserve">server and reviewed by the Compliance Manager. </w:t>
      </w:r>
    </w:p>
    <w:p w14:paraId="47F44C08" w14:textId="77777777" w:rsidR="00DF09F6" w:rsidRDefault="00DF09F6" w:rsidP="00DF09F6">
      <w:pPr>
        <w:pStyle w:val="ListParagraph"/>
        <w:numPr>
          <w:ilvl w:val="0"/>
          <w:numId w:val="7"/>
        </w:numPr>
        <w:spacing w:after="160" w:line="259" w:lineRule="auto"/>
      </w:pPr>
      <w:r>
        <w:t>The report is assigned to designated personnel for evaluation and response, ensuring those named in a report do not have access to it.</w:t>
      </w:r>
    </w:p>
    <w:p w14:paraId="0215A574" w14:textId="77777777" w:rsidR="00DF09F6" w:rsidRDefault="00DF09F6" w:rsidP="00DF09F6"/>
    <w:p w14:paraId="1378FEC0" w14:textId="77777777" w:rsidR="00DF09F6" w:rsidRPr="003F78B3" w:rsidRDefault="00DF09F6" w:rsidP="00DF09F6">
      <w:pPr>
        <w:rPr>
          <w:b/>
          <w:bCs/>
        </w:rPr>
      </w:pPr>
      <w:r w:rsidRPr="003F78B3">
        <w:rPr>
          <w:b/>
          <w:bCs/>
        </w:rPr>
        <w:t xml:space="preserve">Bad Faith Allegations  </w:t>
      </w:r>
    </w:p>
    <w:p w14:paraId="23D1DAA7" w14:textId="14DA52B3" w:rsidR="00DF09F6" w:rsidRDefault="36855124" w:rsidP="00DF09F6">
      <w:pPr>
        <w:pStyle w:val="ListParagraph"/>
        <w:numPr>
          <w:ilvl w:val="0"/>
          <w:numId w:val="8"/>
        </w:numPr>
        <w:spacing w:after="160" w:line="259" w:lineRule="auto"/>
      </w:pPr>
      <w:r>
        <w:t>People making claims in bad faith or with ill intent are subject to disciplinary action</w:t>
      </w:r>
      <w:r w:rsidR="2E97FD0A">
        <w:t>.</w:t>
      </w:r>
    </w:p>
    <w:p w14:paraId="44BE0D69" w14:textId="77777777" w:rsidR="00DF09F6" w:rsidRDefault="00DF09F6" w:rsidP="00DF09F6"/>
    <w:p w14:paraId="4A155FB1" w14:textId="77777777" w:rsidR="00DF09F6" w:rsidRPr="003F78B3" w:rsidRDefault="36855124" w:rsidP="00DF09F6">
      <w:pPr>
        <w:rPr>
          <w:b/>
          <w:bCs/>
        </w:rPr>
      </w:pPr>
      <w:r w:rsidRPr="40442308">
        <w:rPr>
          <w:b/>
          <w:bCs/>
        </w:rPr>
        <w:t xml:space="preserve">Appeals Process  </w:t>
      </w:r>
    </w:p>
    <w:p w14:paraId="3104EE61" w14:textId="77777777" w:rsidR="00DF09F6" w:rsidRDefault="00DF09F6" w:rsidP="00DF09F6">
      <w:pPr>
        <w:pStyle w:val="ListParagraph"/>
        <w:numPr>
          <w:ilvl w:val="0"/>
          <w:numId w:val="8"/>
        </w:numPr>
        <w:spacing w:after="160" w:line="259" w:lineRule="auto"/>
      </w:pPr>
      <w:r>
        <w:t>Grounds for appeal include procedural irregularities, new evidence, or conflicts of interest.</w:t>
      </w:r>
    </w:p>
    <w:p w14:paraId="2539DA5A" w14:textId="77777777" w:rsidR="00DF09F6" w:rsidRDefault="00DF09F6" w:rsidP="00DF09F6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Appeals must be submitted in writing within seven business days of the outcome notice.  </w:t>
      </w:r>
    </w:p>
    <w:p w14:paraId="377A83BD" w14:textId="2FE79CFE" w:rsidR="00DF09F6" w:rsidRDefault="00DF09F6" w:rsidP="00DF09F6">
      <w:pPr>
        <w:pStyle w:val="ListParagraph"/>
        <w:numPr>
          <w:ilvl w:val="0"/>
          <w:numId w:val="8"/>
        </w:numPr>
        <w:spacing w:after="160" w:line="259" w:lineRule="auto"/>
      </w:pPr>
      <w:r>
        <w:t>Appeals regarding students should be directed to the Provost</w:t>
      </w:r>
      <w:r w:rsidR="58E8457C">
        <w:t>,</w:t>
      </w:r>
      <w:r>
        <w:t xml:space="preserve"> who will review and adjudicate the case.  </w:t>
      </w:r>
    </w:p>
    <w:p w14:paraId="721CC9B7" w14:textId="7A0C29F6" w:rsidR="00DF09F6" w:rsidRDefault="00DF09F6" w:rsidP="00DF09F6">
      <w:pPr>
        <w:pStyle w:val="ListParagraph"/>
        <w:numPr>
          <w:ilvl w:val="0"/>
          <w:numId w:val="8"/>
        </w:numPr>
        <w:spacing w:after="160" w:line="259" w:lineRule="auto"/>
      </w:pPr>
      <w:r>
        <w:t>Appeals regarding employees and case</w:t>
      </w:r>
      <w:r w:rsidR="393174A9">
        <w:t>s</w:t>
      </w:r>
      <w:r>
        <w:t xml:space="preserve"> that require the input of the RVU Board of Trustees </w:t>
      </w:r>
      <w:r w:rsidR="4D409E0D">
        <w:t>will</w:t>
      </w:r>
      <w:r>
        <w:t xml:space="preserve"> be directed to the President</w:t>
      </w:r>
      <w:r w:rsidR="5AE2B8D6">
        <w:t>,</w:t>
      </w:r>
      <w:r>
        <w:t xml:space="preserve"> who will review and adjudicate the case. </w:t>
      </w:r>
    </w:p>
    <w:p w14:paraId="55736C70" w14:textId="77777777" w:rsidR="00DF09F6" w:rsidRDefault="00DF09F6" w:rsidP="00DF09F6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All appeals decisions are final. </w:t>
      </w:r>
    </w:p>
    <w:p w14:paraId="4813E160" w14:textId="77777777" w:rsidR="00DF09F6" w:rsidRDefault="00DF09F6" w:rsidP="00DF09F6"/>
    <w:p w14:paraId="3DB9EDCD" w14:textId="77777777" w:rsidR="00DF09F6" w:rsidRPr="003F78B3" w:rsidRDefault="00DF09F6" w:rsidP="00DF09F6">
      <w:pPr>
        <w:rPr>
          <w:b/>
          <w:bCs/>
        </w:rPr>
      </w:pPr>
      <w:r w:rsidRPr="003F78B3">
        <w:rPr>
          <w:b/>
          <w:bCs/>
        </w:rPr>
        <w:t xml:space="preserve">Case Escalation  </w:t>
      </w:r>
    </w:p>
    <w:p w14:paraId="20E4A7B8" w14:textId="77777777" w:rsidR="00DF09F6" w:rsidRDefault="00DF09F6" w:rsidP="00DF09F6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In critical or emergency situations, cases may be escalated directly to the President/CEO. </w:t>
      </w:r>
    </w:p>
    <w:p w14:paraId="7F02F3F0" w14:textId="3FB2BAA1" w:rsidR="00DF09F6" w:rsidRDefault="00DF09F6" w:rsidP="00DF09F6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Allegations or cases </w:t>
      </w:r>
      <w:r w:rsidR="103B30CF">
        <w:t>pertaining to</w:t>
      </w:r>
      <w:r>
        <w:t xml:space="preserve"> the President/CEO will be escalated to the Chair of the RVU Board of Trustees. </w:t>
      </w:r>
    </w:p>
    <w:p w14:paraId="2F5543F0" w14:textId="77777777" w:rsidR="00DF09F6" w:rsidRDefault="00DF09F6" w:rsidP="00DF09F6"/>
    <w:p w14:paraId="751C0A80" w14:textId="77777777" w:rsidR="00DF09F6" w:rsidRDefault="00DF09F6" w:rsidP="00DF09F6"/>
    <w:p w14:paraId="4FCBD92B" w14:textId="77777777" w:rsidR="00DF09F6" w:rsidRDefault="00DF09F6" w:rsidP="00DF09F6">
      <w:pPr>
        <w:rPr>
          <w:b/>
          <w:bCs/>
          <w:sz w:val="24"/>
          <w:szCs w:val="24"/>
        </w:rPr>
      </w:pPr>
      <w:r w:rsidRPr="00DF09F6">
        <w:rPr>
          <w:b/>
          <w:bCs/>
          <w:sz w:val="24"/>
          <w:szCs w:val="24"/>
        </w:rPr>
        <w:lastRenderedPageBreak/>
        <w:t xml:space="preserve"> </w:t>
      </w:r>
    </w:p>
    <w:p w14:paraId="313A09D7" w14:textId="77777777" w:rsidR="007963A5" w:rsidRPr="00DF09F6" w:rsidRDefault="007963A5" w:rsidP="00DF09F6">
      <w:pPr>
        <w:rPr>
          <w:b/>
          <w:bCs/>
          <w:sz w:val="24"/>
          <w:szCs w:val="24"/>
        </w:rPr>
      </w:pPr>
    </w:p>
    <w:p w14:paraId="19E2AA77" w14:textId="32FE07CB" w:rsidR="00DF09F6" w:rsidRPr="00DF09F6" w:rsidRDefault="00DF09F6" w:rsidP="00DF09F6">
      <w:pPr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DF09F6">
        <w:rPr>
          <w:rFonts w:ascii="Nirmala UI" w:hAnsi="Nirmala UI" w:cs="Nirmala UI"/>
          <w:b/>
          <w:bCs/>
          <w:sz w:val="24"/>
          <w:szCs w:val="24"/>
        </w:rPr>
        <w:t xml:space="preserve">Appendix 2: </w:t>
      </w:r>
      <w:r w:rsidRPr="00DF09F6">
        <w:rPr>
          <w:b/>
          <w:bCs/>
          <w:sz w:val="24"/>
          <w:szCs w:val="24"/>
        </w:rPr>
        <w:t>Whistleblower and Retaliation Protection Policy</w:t>
      </w:r>
    </w:p>
    <w:p w14:paraId="6ACCE5EA" w14:textId="77777777" w:rsidR="005D0ABF" w:rsidRDefault="005D0ABF" w:rsidP="005D0ABF">
      <w:pPr>
        <w:rPr>
          <w:rFonts w:ascii="Nirmala UI" w:hAnsi="Nirmala UI" w:cs="Nirmala UI"/>
          <w:b/>
          <w:bCs/>
          <w:sz w:val="20"/>
          <w:szCs w:val="20"/>
        </w:rPr>
      </w:pPr>
    </w:p>
    <w:p w14:paraId="34407E18" w14:textId="07BB660E" w:rsidR="00DF09F6" w:rsidRPr="007C4AFD" w:rsidRDefault="00BB4AA2" w:rsidP="00BB4AA2">
      <w:pPr>
        <w:ind w:left="1440"/>
        <w:rPr>
          <w:rFonts w:ascii="Nirmala UI" w:hAnsi="Nirmala UI" w:cs="Nirmala UI"/>
          <w:b/>
          <w:bCs/>
          <w:sz w:val="20"/>
          <w:szCs w:val="20"/>
        </w:rPr>
      </w:pPr>
      <w:r>
        <w:rPr>
          <w:rFonts w:ascii="Nirmala UI" w:hAnsi="Nirmala UI" w:cs="Nirmala UI"/>
          <w:b/>
          <w:bCs/>
          <w:sz w:val="20"/>
          <w:szCs w:val="20"/>
        </w:rPr>
        <w:t xml:space="preserve">In DynamicPolicy at:  </w:t>
      </w:r>
      <w:hyperlink r:id="rId11" w:history="1">
        <w:r w:rsidRPr="004F5F41">
          <w:rPr>
            <w:rStyle w:val="Hyperlink"/>
            <w:rFonts w:ascii="Nirmala UI" w:hAnsi="Nirmala UI" w:cs="Nirmala UI"/>
            <w:b/>
            <w:bCs/>
            <w:sz w:val="20"/>
            <w:szCs w:val="20"/>
          </w:rPr>
          <w:t>https://policies.rvu.edu/read_policy.php?doc_id=15730001</w:t>
        </w:r>
      </w:hyperlink>
      <w:r>
        <w:rPr>
          <w:rFonts w:ascii="Nirmala UI" w:hAnsi="Nirmala UI" w:cs="Nirmala UI"/>
          <w:b/>
          <w:bCs/>
          <w:sz w:val="20"/>
          <w:szCs w:val="20"/>
        </w:rPr>
        <w:t xml:space="preserve"> </w:t>
      </w:r>
    </w:p>
    <w:sectPr w:rsidR="00DF09F6" w:rsidRPr="007C4AFD" w:rsidSect="00867C67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2DD9E" w14:textId="77777777" w:rsidR="00585F8F" w:rsidRDefault="00585F8F" w:rsidP="00867C67">
      <w:r>
        <w:separator/>
      </w:r>
    </w:p>
  </w:endnote>
  <w:endnote w:type="continuationSeparator" w:id="0">
    <w:p w14:paraId="20CA3A23" w14:textId="77777777" w:rsidR="00585F8F" w:rsidRDefault="00585F8F" w:rsidP="00867C67">
      <w:r>
        <w:continuationSeparator/>
      </w:r>
    </w:p>
  </w:endnote>
  <w:endnote w:type="continuationNotice" w:id="1">
    <w:p w14:paraId="7109A4D3" w14:textId="77777777" w:rsidR="00585F8F" w:rsidRDefault="00585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890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CE094" w14:textId="1A563A12" w:rsidR="007C4AFD" w:rsidRDefault="007C4AFD" w:rsidP="007C4AFD">
        <w:pPr>
          <w:pStyle w:val="Footer"/>
          <w:pBdr>
            <w:top w:val="single" w:sz="12" w:space="1" w:color="FFC000"/>
          </w:pBdr>
          <w:jc w:val="right"/>
        </w:pPr>
        <w:r>
          <w:rPr>
            <w:rFonts w:ascii="Nirmala UI" w:hAnsi="Nirmala UI" w:cs="Nirmala UI"/>
            <w:sz w:val="16"/>
            <w:szCs w:val="16"/>
          </w:rPr>
          <w:t>P</w:t>
        </w:r>
        <w:r w:rsidR="00327ABC">
          <w:rPr>
            <w:rFonts w:ascii="Nirmala UI" w:hAnsi="Nirmala UI" w:cs="Nirmala UI"/>
            <w:sz w:val="16"/>
            <w:szCs w:val="16"/>
          </w:rPr>
          <w:t xml:space="preserve">age </w:t>
        </w:r>
        <w:r>
          <w:rPr>
            <w:rFonts w:ascii="Nirmala UI" w:hAnsi="Nirmala UI" w:cs="Nirmala UI"/>
            <w:sz w:val="16"/>
            <w:szCs w:val="16"/>
          </w:rPr>
          <w:t xml:space="preserve"> </w:t>
        </w:r>
        <w:r w:rsidRPr="00327ABC">
          <w:rPr>
            <w:rFonts w:ascii="Nirmala UI" w:hAnsi="Nirmala UI" w:cs="Nirmala UI"/>
            <w:sz w:val="16"/>
            <w:szCs w:val="16"/>
          </w:rPr>
          <w:fldChar w:fldCharType="begin"/>
        </w:r>
        <w:r w:rsidRPr="00327ABC">
          <w:rPr>
            <w:rFonts w:ascii="Nirmala UI" w:hAnsi="Nirmala UI" w:cs="Nirmala UI"/>
            <w:sz w:val="16"/>
            <w:szCs w:val="16"/>
          </w:rPr>
          <w:instrText xml:space="preserve"> PAGE   \* MERGEFORMAT </w:instrText>
        </w:r>
        <w:r w:rsidRPr="00327ABC">
          <w:rPr>
            <w:rFonts w:ascii="Nirmala UI" w:hAnsi="Nirmala UI" w:cs="Nirmala UI"/>
            <w:sz w:val="16"/>
            <w:szCs w:val="16"/>
          </w:rPr>
          <w:fldChar w:fldCharType="separate"/>
        </w:r>
        <w:r w:rsidRPr="00327ABC">
          <w:rPr>
            <w:rFonts w:ascii="Nirmala UI" w:hAnsi="Nirmala UI" w:cs="Nirmala UI"/>
            <w:noProof/>
            <w:sz w:val="16"/>
            <w:szCs w:val="16"/>
          </w:rPr>
          <w:t>2</w:t>
        </w:r>
        <w:r w:rsidRPr="00327ABC">
          <w:rPr>
            <w:rFonts w:ascii="Nirmala UI" w:hAnsi="Nirmala UI" w:cs="Nirmala UI"/>
            <w:noProof/>
            <w:sz w:val="16"/>
            <w:szCs w:val="16"/>
          </w:rPr>
          <w:fldChar w:fldCharType="end"/>
        </w:r>
      </w:p>
    </w:sdtContent>
  </w:sdt>
  <w:p w14:paraId="06F6C16D" w14:textId="77777777" w:rsidR="007C4AFD" w:rsidRDefault="007C4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AE7AB" w14:textId="77777777" w:rsidR="00585F8F" w:rsidRDefault="00585F8F" w:rsidP="00867C67">
      <w:r>
        <w:separator/>
      </w:r>
    </w:p>
  </w:footnote>
  <w:footnote w:type="continuationSeparator" w:id="0">
    <w:p w14:paraId="4054A2A7" w14:textId="77777777" w:rsidR="00585F8F" w:rsidRDefault="00585F8F" w:rsidP="00867C67">
      <w:r>
        <w:continuationSeparator/>
      </w:r>
    </w:p>
  </w:footnote>
  <w:footnote w:type="continuationNotice" w:id="1">
    <w:p w14:paraId="71445503" w14:textId="77777777" w:rsidR="00585F8F" w:rsidRDefault="00585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72A3" w14:textId="7CEDB992" w:rsidR="00867C67" w:rsidRDefault="00867C6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1F8D4FF6" wp14:editId="6B7FFD68">
              <wp:simplePos x="0" y="0"/>
              <wp:positionH relativeFrom="margin">
                <wp:posOffset>2028825</wp:posOffset>
              </wp:positionH>
              <wp:positionV relativeFrom="topMargin">
                <wp:posOffset>190500</wp:posOffset>
              </wp:positionV>
              <wp:extent cx="4781550" cy="436880"/>
              <wp:effectExtent l="0" t="0" r="0" b="127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81550" cy="436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89D2F" w14:textId="59483CDE" w:rsidR="00867C67" w:rsidRPr="00867C67" w:rsidRDefault="00E05DF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smallCap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67C67" w:rsidRPr="00867C67">
                                <w:rPr>
                                  <w:b/>
                                  <w:small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Official University Policy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D4FF6" id="Rectangle 63" o:spid="_x0000_s1026" style="position:absolute;margin-left:159.75pt;margin-top:15pt;width:376.5pt;height:34.4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" o:allowoverlap="f" fillcolor="#1f3763 [1604]" stroked="f" strokeweight="1pt">
              <v:textbox>
                <w:txbxContent>
                  <w:p w14:paraId="2D589D2F" w14:textId="59483CDE" w:rsidR="00867C67" w:rsidRPr="00867C67" w:rsidRDefault="00E05DF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smallCaps/>
                        <w:color w:val="FFFFFF" w:themeColor="background1"/>
                        <w:sz w:val="36"/>
                        <w:szCs w:val="36"/>
                      </w:rPr>
                    </w:pPr>
                    <w:sdt>
                      <w:sdtPr>
                        <w:rPr>
                          <w:b/>
                          <w:smallCaps/>
                          <w:color w:val="FFFFFF" w:themeColor="background1"/>
                          <w:sz w:val="36"/>
                          <w:szCs w:val="36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67C67" w:rsidRPr="00867C67">
                          <w:rPr>
                            <w:b/>
                            <w:smallCaps/>
                            <w:color w:val="FFFFFF" w:themeColor="background1"/>
                            <w:sz w:val="36"/>
                            <w:szCs w:val="36"/>
                          </w:rPr>
                          <w:t>Official University Policy</w:t>
                        </w:r>
                      </w:sdtContent>
                    </w:sdt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6C459EEA" wp14:editId="68F393D3">
          <wp:simplePos x="0" y="0"/>
          <wp:positionH relativeFrom="column">
            <wp:posOffset>142875</wp:posOffset>
          </wp:positionH>
          <wp:positionV relativeFrom="paragraph">
            <wp:posOffset>-304800</wp:posOffset>
          </wp:positionV>
          <wp:extent cx="1362075" cy="497681"/>
          <wp:effectExtent l="0" t="0" r="0" b="0"/>
          <wp:wrapSquare wrapText="bothSides"/>
          <wp:docPr id="1950181474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181474" name="Picture 1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97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823"/>
    <w:multiLevelType w:val="hybridMultilevel"/>
    <w:tmpl w:val="234A3340"/>
    <w:lvl w:ilvl="0" w:tplc="AEDCA1CA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5962"/>
    <w:multiLevelType w:val="hybridMultilevel"/>
    <w:tmpl w:val="B614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11082"/>
    <w:multiLevelType w:val="hybridMultilevel"/>
    <w:tmpl w:val="1F98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64EC"/>
    <w:multiLevelType w:val="hybridMultilevel"/>
    <w:tmpl w:val="F63C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63CA2"/>
    <w:multiLevelType w:val="hybridMultilevel"/>
    <w:tmpl w:val="88A0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6D3A"/>
    <w:multiLevelType w:val="hybridMultilevel"/>
    <w:tmpl w:val="0E8A4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86799"/>
    <w:multiLevelType w:val="hybridMultilevel"/>
    <w:tmpl w:val="63FE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1D78"/>
    <w:multiLevelType w:val="hybridMultilevel"/>
    <w:tmpl w:val="7A50AD1C"/>
    <w:lvl w:ilvl="0" w:tplc="F14A35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E55F3"/>
    <w:multiLevelType w:val="hybridMultilevel"/>
    <w:tmpl w:val="2904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637698">
    <w:abstractNumId w:val="0"/>
  </w:num>
  <w:num w:numId="2" w16cid:durableId="923539749">
    <w:abstractNumId w:val="7"/>
  </w:num>
  <w:num w:numId="3" w16cid:durableId="1702434171">
    <w:abstractNumId w:val="5"/>
  </w:num>
  <w:num w:numId="4" w16cid:durableId="93867351">
    <w:abstractNumId w:val="2"/>
  </w:num>
  <w:num w:numId="5" w16cid:durableId="502161979">
    <w:abstractNumId w:val="6"/>
  </w:num>
  <w:num w:numId="6" w16cid:durableId="1134567513">
    <w:abstractNumId w:val="4"/>
  </w:num>
  <w:num w:numId="7" w16cid:durableId="381709819">
    <w:abstractNumId w:val="1"/>
  </w:num>
  <w:num w:numId="8" w16cid:durableId="38434975">
    <w:abstractNumId w:val="3"/>
  </w:num>
  <w:num w:numId="9" w16cid:durableId="13916896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67"/>
    <w:rsid w:val="00015375"/>
    <w:rsid w:val="0004249E"/>
    <w:rsid w:val="00062F34"/>
    <w:rsid w:val="000713C9"/>
    <w:rsid w:val="00074DC1"/>
    <w:rsid w:val="00084733"/>
    <w:rsid w:val="000A00AB"/>
    <w:rsid w:val="000F1E2B"/>
    <w:rsid w:val="00127E0F"/>
    <w:rsid w:val="001552EC"/>
    <w:rsid w:val="00160061"/>
    <w:rsid w:val="00187955"/>
    <w:rsid w:val="00211649"/>
    <w:rsid w:val="002561BF"/>
    <w:rsid w:val="0029198D"/>
    <w:rsid w:val="002A7342"/>
    <w:rsid w:val="002B6989"/>
    <w:rsid w:val="002D692A"/>
    <w:rsid w:val="002D6AC0"/>
    <w:rsid w:val="002F673F"/>
    <w:rsid w:val="00306257"/>
    <w:rsid w:val="00327ABC"/>
    <w:rsid w:val="00352011"/>
    <w:rsid w:val="003C5161"/>
    <w:rsid w:val="003E4011"/>
    <w:rsid w:val="004345D7"/>
    <w:rsid w:val="00477918"/>
    <w:rsid w:val="00481777"/>
    <w:rsid w:val="00496593"/>
    <w:rsid w:val="004E3A1E"/>
    <w:rsid w:val="004F7741"/>
    <w:rsid w:val="0051194B"/>
    <w:rsid w:val="005348E3"/>
    <w:rsid w:val="00553136"/>
    <w:rsid w:val="00585F8F"/>
    <w:rsid w:val="005A319F"/>
    <w:rsid w:val="005D0ABF"/>
    <w:rsid w:val="00607494"/>
    <w:rsid w:val="00657FE5"/>
    <w:rsid w:val="006B3D2C"/>
    <w:rsid w:val="006D26A2"/>
    <w:rsid w:val="006D7603"/>
    <w:rsid w:val="0075213C"/>
    <w:rsid w:val="007725CA"/>
    <w:rsid w:val="00776EB6"/>
    <w:rsid w:val="007963A5"/>
    <w:rsid w:val="007C4AFD"/>
    <w:rsid w:val="007C59D8"/>
    <w:rsid w:val="007D6E57"/>
    <w:rsid w:val="007F2FA4"/>
    <w:rsid w:val="00867C67"/>
    <w:rsid w:val="00883CD0"/>
    <w:rsid w:val="00894E5D"/>
    <w:rsid w:val="008A1F6C"/>
    <w:rsid w:val="008A74CD"/>
    <w:rsid w:val="008B13E7"/>
    <w:rsid w:val="008E3219"/>
    <w:rsid w:val="008F5BAC"/>
    <w:rsid w:val="00965715"/>
    <w:rsid w:val="00966C1D"/>
    <w:rsid w:val="00980197"/>
    <w:rsid w:val="00982C21"/>
    <w:rsid w:val="00995C30"/>
    <w:rsid w:val="009B70F3"/>
    <w:rsid w:val="009B77A3"/>
    <w:rsid w:val="009C67F0"/>
    <w:rsid w:val="009D7CC5"/>
    <w:rsid w:val="009F6E29"/>
    <w:rsid w:val="00A5740C"/>
    <w:rsid w:val="00A638F2"/>
    <w:rsid w:val="00A90EE4"/>
    <w:rsid w:val="00A95785"/>
    <w:rsid w:val="00AE5B0F"/>
    <w:rsid w:val="00AF3AAF"/>
    <w:rsid w:val="00B1311D"/>
    <w:rsid w:val="00B331FA"/>
    <w:rsid w:val="00B8BCFA"/>
    <w:rsid w:val="00BB4AA2"/>
    <w:rsid w:val="00BD5138"/>
    <w:rsid w:val="00C229F2"/>
    <w:rsid w:val="00C3267A"/>
    <w:rsid w:val="00C7439E"/>
    <w:rsid w:val="00CD33A0"/>
    <w:rsid w:val="00D319FA"/>
    <w:rsid w:val="00DA25EF"/>
    <w:rsid w:val="00DA6743"/>
    <w:rsid w:val="00DB31AF"/>
    <w:rsid w:val="00DC5210"/>
    <w:rsid w:val="00DF09F6"/>
    <w:rsid w:val="00E05DF4"/>
    <w:rsid w:val="00E27625"/>
    <w:rsid w:val="00E43521"/>
    <w:rsid w:val="00E4723A"/>
    <w:rsid w:val="00E512B2"/>
    <w:rsid w:val="00E8535C"/>
    <w:rsid w:val="00ED42F8"/>
    <w:rsid w:val="00EE336E"/>
    <w:rsid w:val="00F70C07"/>
    <w:rsid w:val="00F73220"/>
    <w:rsid w:val="00F751AB"/>
    <w:rsid w:val="00F92701"/>
    <w:rsid w:val="00FB3CD2"/>
    <w:rsid w:val="00FB6930"/>
    <w:rsid w:val="00FD3114"/>
    <w:rsid w:val="02110EDD"/>
    <w:rsid w:val="02636DEB"/>
    <w:rsid w:val="03DAAC05"/>
    <w:rsid w:val="04FC9356"/>
    <w:rsid w:val="06A24709"/>
    <w:rsid w:val="094D4F15"/>
    <w:rsid w:val="103B30CF"/>
    <w:rsid w:val="1139C6F6"/>
    <w:rsid w:val="1332E925"/>
    <w:rsid w:val="17EE009B"/>
    <w:rsid w:val="1BF0FDF4"/>
    <w:rsid w:val="25A4A615"/>
    <w:rsid w:val="2C6B5897"/>
    <w:rsid w:val="2D52ACB6"/>
    <w:rsid w:val="2E97FD0A"/>
    <w:rsid w:val="34DB4736"/>
    <w:rsid w:val="36855124"/>
    <w:rsid w:val="3722769B"/>
    <w:rsid w:val="38F7928C"/>
    <w:rsid w:val="393174A9"/>
    <w:rsid w:val="3D211F52"/>
    <w:rsid w:val="3DCB9D5B"/>
    <w:rsid w:val="40442308"/>
    <w:rsid w:val="40B2F61F"/>
    <w:rsid w:val="4169C7C6"/>
    <w:rsid w:val="4419BBFC"/>
    <w:rsid w:val="4A149316"/>
    <w:rsid w:val="4A4EBC3E"/>
    <w:rsid w:val="4C53E627"/>
    <w:rsid w:val="4D409E0D"/>
    <w:rsid w:val="4FFA7ED4"/>
    <w:rsid w:val="52B3690B"/>
    <w:rsid w:val="54C9B9A2"/>
    <w:rsid w:val="58E8457C"/>
    <w:rsid w:val="59F13495"/>
    <w:rsid w:val="5A6BE52B"/>
    <w:rsid w:val="5AE2B8D6"/>
    <w:rsid w:val="6036FEC6"/>
    <w:rsid w:val="629E3B5A"/>
    <w:rsid w:val="634292AE"/>
    <w:rsid w:val="63EE162A"/>
    <w:rsid w:val="6449B7B5"/>
    <w:rsid w:val="65D47E6B"/>
    <w:rsid w:val="6C4F841A"/>
    <w:rsid w:val="702A3475"/>
    <w:rsid w:val="70CE9C2C"/>
    <w:rsid w:val="72995EFB"/>
    <w:rsid w:val="742A1FED"/>
    <w:rsid w:val="76964091"/>
    <w:rsid w:val="7787D9F1"/>
    <w:rsid w:val="792DD94F"/>
    <w:rsid w:val="7B8E5622"/>
    <w:rsid w:val="7E89DC40"/>
    <w:rsid w:val="7F6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C75EE"/>
  <w15:chartTrackingRefBased/>
  <w15:docId w15:val="{EED3E6CD-CC2A-4F0A-9FD4-E5634ED8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C67"/>
  </w:style>
  <w:style w:type="paragraph" w:styleId="Footer">
    <w:name w:val="footer"/>
    <w:basedOn w:val="Normal"/>
    <w:link w:val="FooterChar"/>
    <w:uiPriority w:val="99"/>
    <w:unhideWhenUsed/>
    <w:rsid w:val="00867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C67"/>
  </w:style>
  <w:style w:type="character" w:styleId="PlaceholderText">
    <w:name w:val="Placeholder Text"/>
    <w:basedOn w:val="DefaultParagraphFont"/>
    <w:uiPriority w:val="99"/>
    <w:semiHidden/>
    <w:rsid w:val="00867C67"/>
    <w:rPr>
      <w:color w:val="808080"/>
    </w:rPr>
  </w:style>
  <w:style w:type="paragraph" w:styleId="ListParagraph">
    <w:name w:val="List Paragraph"/>
    <w:basedOn w:val="Normal"/>
    <w:uiPriority w:val="34"/>
    <w:qFormat/>
    <w:rsid w:val="005D0ABF"/>
    <w:pPr>
      <w:ind w:left="720"/>
      <w:contextualSpacing/>
    </w:pPr>
  </w:style>
  <w:style w:type="table" w:styleId="TableGrid">
    <w:name w:val="Table Grid"/>
    <w:basedOn w:val="TableNormal"/>
    <w:uiPriority w:val="39"/>
    <w:rsid w:val="006D2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1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6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3A5"/>
    <w:rPr>
      <w:sz w:val="20"/>
      <w:szCs w:val="20"/>
    </w:rPr>
  </w:style>
  <w:style w:type="paragraph" w:styleId="Revision">
    <w:name w:val="Revision"/>
    <w:hidden/>
    <w:uiPriority w:val="99"/>
    <w:semiHidden/>
    <w:rsid w:val="00607494"/>
  </w:style>
  <w:style w:type="character" w:styleId="FollowedHyperlink">
    <w:name w:val="FollowedHyperlink"/>
    <w:basedOn w:val="DefaultParagraphFont"/>
    <w:uiPriority w:val="99"/>
    <w:semiHidden/>
    <w:unhideWhenUsed/>
    <w:rsid w:val="0060749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1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cies.rvu.edu/read_policy.php?doc_id=15730001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rvu.ethicspoi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59DC-BB56-4E6F-9B21-3D11228D2D9B}"/>
      </w:docPartPr>
      <w:docPartBody>
        <w:p w:rsidR="00042550" w:rsidRDefault="00E512B2">
          <w:r w:rsidRPr="003A1A3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B2"/>
    <w:rsid w:val="00042550"/>
    <w:rsid w:val="00074DC1"/>
    <w:rsid w:val="000A00AB"/>
    <w:rsid w:val="000F1B3F"/>
    <w:rsid w:val="00127E0F"/>
    <w:rsid w:val="00155ACD"/>
    <w:rsid w:val="00282749"/>
    <w:rsid w:val="002D6AC0"/>
    <w:rsid w:val="00481777"/>
    <w:rsid w:val="004E3A1E"/>
    <w:rsid w:val="004F7741"/>
    <w:rsid w:val="00553136"/>
    <w:rsid w:val="006D7603"/>
    <w:rsid w:val="00873DCB"/>
    <w:rsid w:val="008B13E7"/>
    <w:rsid w:val="008F5BAC"/>
    <w:rsid w:val="00AF00A1"/>
    <w:rsid w:val="00B1311D"/>
    <w:rsid w:val="00C071C2"/>
    <w:rsid w:val="00D319FA"/>
    <w:rsid w:val="00D77A0F"/>
    <w:rsid w:val="00D77A51"/>
    <w:rsid w:val="00DC5210"/>
    <w:rsid w:val="00E27625"/>
    <w:rsid w:val="00E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2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641F8FCF7074D9551AB79AFB03D13" ma:contentTypeVersion="6" ma:contentTypeDescription="Create a new document." ma:contentTypeScope="" ma:versionID="6da95686d2d9a48ad3388c3cabcfe031">
  <xsd:schema xmlns:xsd="http://www.w3.org/2001/XMLSchema" xmlns:xs="http://www.w3.org/2001/XMLSchema" xmlns:p="http://schemas.microsoft.com/office/2006/metadata/properties" xmlns:ns2="4b5b7ced-a440-40fb-a4c7-96f45eeb3d10" xmlns:ns3="c2cdf72c-779e-45e8-9e07-0a9a94d45222" targetNamespace="http://schemas.microsoft.com/office/2006/metadata/properties" ma:root="true" ma:fieldsID="f9ba626ef406330a912bcc34462ed035" ns2:_="" ns3:_="">
    <xsd:import namespace="4b5b7ced-a440-40fb-a4c7-96f45eeb3d10"/>
    <xsd:import namespace="c2cdf72c-779e-45e8-9e07-0a9a94d45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b7ced-a440-40fb-a4c7-96f45eeb3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df72c-779e-45e8-9e07-0a9a94d45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71586-7EB0-4117-A7C2-524581C0E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b7ced-a440-40fb-a4c7-96f45eeb3d10"/>
    <ds:schemaRef ds:uri="c2cdf72c-779e-45e8-9e07-0a9a94d45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E4F95-6395-44A2-99C0-CE039A808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DABDF-568F-4726-9375-547945EA14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University Policy</dc:title>
  <dc:subject/>
  <dc:creator>Janna Oakes, PhD</dc:creator>
  <cp:keywords/>
  <dc:description/>
  <cp:lastModifiedBy>Laura Dement</cp:lastModifiedBy>
  <cp:revision>2</cp:revision>
  <cp:lastPrinted>2023-06-20T20:34:00Z</cp:lastPrinted>
  <dcterms:created xsi:type="dcterms:W3CDTF">2025-01-30T22:31:00Z</dcterms:created>
  <dcterms:modified xsi:type="dcterms:W3CDTF">2025-01-30T22:31:00Z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0x010100B8F641F8FCF7074D9551AB79AFB03D13</vt:lpwstr>
  </property>
</Properties>
</file>